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19C17" w14:textId="77777777" w:rsidR="002B75A5" w:rsidRPr="00BD1CC1" w:rsidRDefault="002B75A5" w:rsidP="002B75A5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ABD5CFB" wp14:editId="1DA4BBE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2B75A5" w:rsidRPr="00BD1CC1" w14:paraId="58EC9664" w14:textId="77777777" w:rsidTr="00E903B4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0DDD39" w14:textId="77777777" w:rsidR="002B75A5" w:rsidRPr="00EC47B6" w:rsidRDefault="002B75A5" w:rsidP="00E903B4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2B75A5" w:rsidRPr="002D723B" w14:paraId="003F5B96" w14:textId="77777777" w:rsidTr="00E903B4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26D7F" w14:textId="13B7500C" w:rsidR="002B75A5" w:rsidRPr="002D723B" w:rsidRDefault="002B75A5" w:rsidP="00E903B4">
            <w:pPr>
              <w:pStyle w:val="RefTableHeader"/>
            </w:pPr>
            <w:r>
              <w:t>1943-A</w:t>
            </w:r>
          </w:p>
        </w:tc>
      </w:tr>
    </w:tbl>
    <w:p w14:paraId="19A930AF" w14:textId="77777777" w:rsidR="002B75A5" w:rsidRDefault="002B75A5" w:rsidP="002B75A5">
      <w:pPr>
        <w:pStyle w:val="BodyText"/>
        <w:spacing w:after="0"/>
        <w:rPr>
          <w:b/>
          <w:bCs/>
          <w:sz w:val="16"/>
          <w:szCs w:val="16"/>
        </w:rPr>
        <w:sectPr w:rsidR="002B75A5" w:rsidSect="004D6C3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C533789" w:rsidR="004B15BB" w:rsidRPr="00B14023" w:rsidRDefault="00A5491A" w:rsidP="007E5C16">
      <w:pPr>
        <w:pStyle w:val="Heading1"/>
      </w:pPr>
      <w:r w:rsidRPr="00B14023">
        <w:t>Specialty Guideline Management</w:t>
      </w:r>
      <w:r w:rsidR="008C54D9" w:rsidRPr="00B14023">
        <w:br/>
      </w:r>
      <w:proofErr w:type="spellStart"/>
      <w:r w:rsidRPr="00B14023">
        <w:t>Feiba</w:t>
      </w:r>
      <w:proofErr w:type="spellEnd"/>
    </w:p>
    <w:p w14:paraId="78861C92" w14:textId="447195F1" w:rsidR="00203468" w:rsidRPr="00B14023" w:rsidRDefault="00C64534" w:rsidP="008E0F0D">
      <w:pPr>
        <w:pStyle w:val="Heading2"/>
      </w:pPr>
      <w:r w:rsidRPr="00B14023">
        <w:t xml:space="preserve">Products Referenced by this </w:t>
      </w:r>
      <w:r w:rsidR="00501602" w:rsidRPr="00B14023">
        <w:t>Document</w:t>
      </w:r>
    </w:p>
    <w:p w14:paraId="5455152B" w14:textId="1854B32F" w:rsidR="008E0F0D" w:rsidRPr="00B14023" w:rsidRDefault="00D82D85" w:rsidP="008B73E8">
      <w:pPr>
        <w:pStyle w:val="BodyText"/>
      </w:pPr>
      <w:r w:rsidRPr="00B14023">
        <w:t xml:space="preserve">Drugs that are listed in the </w:t>
      </w:r>
      <w:r w:rsidR="000315F1" w:rsidRPr="00B14023">
        <w:t>following table</w:t>
      </w:r>
      <w:r w:rsidRPr="00B14023">
        <w:t xml:space="preserve"> include both brand and generic and all dosage forms and strengths unless otherwise stated. </w:t>
      </w:r>
      <w:r w:rsidR="00C4394E">
        <w:t>Over-the-counter (</w:t>
      </w:r>
      <w:r w:rsidRPr="00B14023">
        <w:t>OTC</w:t>
      </w:r>
      <w:r w:rsidR="00C4394E">
        <w:t>)</w:t>
      </w:r>
      <w:r w:rsidRPr="00B14023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14023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14023" w:rsidRDefault="00252CE1" w:rsidP="00AA1E6A">
            <w:pPr>
              <w:pStyle w:val="TableHeader"/>
            </w:pPr>
            <w:bookmarkStart w:id="0" w:name="_Hlk159603270"/>
            <w:r w:rsidRPr="00B14023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14023" w:rsidRDefault="00252CE1" w:rsidP="00AA1E6A">
            <w:pPr>
              <w:pStyle w:val="TableHeader"/>
            </w:pPr>
            <w:r w:rsidRPr="00B14023">
              <w:t>Generic Name</w:t>
            </w:r>
          </w:p>
        </w:tc>
      </w:tr>
      <w:tr w:rsidR="00585FFF" w:rsidRPr="00B14023" w14:paraId="2AD5C02D" w14:textId="77777777" w:rsidTr="000C5A6F">
        <w:trPr>
          <w:cantSplit/>
        </w:trPr>
        <w:tc>
          <w:tcPr>
            <w:tcW w:w="5265" w:type="dxa"/>
          </w:tcPr>
          <w:p w14:paraId="2D8FA8E3" w14:textId="7D9FCB68" w:rsidR="00585FFF" w:rsidRPr="00B14023" w:rsidRDefault="000B7A41" w:rsidP="0093675E">
            <w:pPr>
              <w:pStyle w:val="BodyText"/>
              <w:spacing w:after="0"/>
            </w:pPr>
            <w:r w:rsidRPr="00B14023">
              <w:t>Feiba</w:t>
            </w:r>
          </w:p>
        </w:tc>
        <w:tc>
          <w:tcPr>
            <w:tcW w:w="5595" w:type="dxa"/>
          </w:tcPr>
          <w:p w14:paraId="7E26A004" w14:textId="0B148536" w:rsidR="00585FFF" w:rsidRPr="00B14023" w:rsidRDefault="000B7A41" w:rsidP="00D21D0C">
            <w:pPr>
              <w:pStyle w:val="BodyText"/>
              <w:spacing w:after="0"/>
            </w:pPr>
            <w:r w:rsidRPr="00B14023">
              <w:t>anti-inhibitor coagulant complex [human]</w:t>
            </w:r>
          </w:p>
        </w:tc>
      </w:tr>
    </w:tbl>
    <w:bookmarkEnd w:id="0"/>
    <w:p w14:paraId="14CE6108" w14:textId="6EE22378" w:rsidR="00FC1AAD" w:rsidRPr="00B14023" w:rsidRDefault="00ED052F" w:rsidP="00ED052F">
      <w:pPr>
        <w:pStyle w:val="Heading2"/>
      </w:pPr>
      <w:r w:rsidRPr="00B14023">
        <w:t>Indications</w:t>
      </w:r>
    </w:p>
    <w:p w14:paraId="1028A43C" w14:textId="0840D7DC" w:rsidR="00856523" w:rsidRPr="00B14023" w:rsidRDefault="00856523" w:rsidP="00856523">
      <w:r w:rsidRPr="00B14023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9D48FD7" w:rsidR="00ED052F" w:rsidRPr="00B14023" w:rsidRDefault="00ED052F" w:rsidP="00ED052F">
      <w:pPr>
        <w:pStyle w:val="Heading3"/>
        <w:keepNext w:val="0"/>
      </w:pPr>
      <w:r w:rsidRPr="00B14023">
        <w:t>FDA-approved Indication</w:t>
      </w:r>
      <w:r w:rsidR="00C4394E" w:rsidRPr="00B0712B">
        <w:rPr>
          <w:vertAlign w:val="superscript"/>
        </w:rPr>
        <w:t>1</w:t>
      </w:r>
    </w:p>
    <w:p w14:paraId="4C434745" w14:textId="2836B867" w:rsidR="00ED052F" w:rsidRPr="00B14023" w:rsidRDefault="00856523" w:rsidP="00ED052F">
      <w:pPr>
        <w:pStyle w:val="BodyText"/>
      </w:pPr>
      <w:r w:rsidRPr="00B14023">
        <w:t>Hemophilia A and hemophilia B with inhibitors</w:t>
      </w:r>
    </w:p>
    <w:p w14:paraId="61C1425D" w14:textId="02F94AFF" w:rsidR="009A5649" w:rsidRPr="00B14023" w:rsidRDefault="009A5649" w:rsidP="009A5649">
      <w:pPr>
        <w:pStyle w:val="Heading3"/>
        <w:rPr>
          <w:rStyle w:val="Emphasis"/>
          <w:i w:val="0"/>
          <w:iCs w:val="0"/>
          <w:sz w:val="32"/>
          <w:szCs w:val="32"/>
        </w:rPr>
      </w:pPr>
      <w:r w:rsidRPr="00B14023">
        <w:rPr>
          <w:rStyle w:val="Emphasis"/>
          <w:i w:val="0"/>
          <w:iCs w:val="0"/>
          <w:sz w:val="32"/>
          <w:szCs w:val="32"/>
        </w:rPr>
        <w:t>Compendial Use</w:t>
      </w:r>
      <w:r w:rsidR="00C4394E" w:rsidRPr="00B0712B">
        <w:rPr>
          <w:rStyle w:val="Emphasis"/>
          <w:i w:val="0"/>
          <w:iCs w:val="0"/>
          <w:sz w:val="32"/>
          <w:szCs w:val="32"/>
          <w:vertAlign w:val="superscript"/>
        </w:rPr>
        <w:t>2-5</w:t>
      </w:r>
    </w:p>
    <w:p w14:paraId="25A4895F" w14:textId="77777777" w:rsidR="00B512D0" w:rsidRPr="00B14023" w:rsidRDefault="00B512D0" w:rsidP="00B512D0">
      <w:pPr>
        <w:pStyle w:val="BodyText"/>
      </w:pPr>
      <w:r w:rsidRPr="00B14023">
        <w:t>Acquired hemophilia A</w:t>
      </w:r>
    </w:p>
    <w:p w14:paraId="201272D2" w14:textId="2DFEDE57" w:rsidR="00B512D0" w:rsidRPr="00B14023" w:rsidRDefault="00B512D0" w:rsidP="000573E3">
      <w:pPr>
        <w:pStyle w:val="BodyText"/>
        <w:spacing w:after="0"/>
      </w:pPr>
      <w:r w:rsidRPr="00B14023">
        <w:t>All other indications are considered experimental/investigational and not medically necessary.</w:t>
      </w:r>
    </w:p>
    <w:p w14:paraId="4A5B15F8" w14:textId="54920C66" w:rsidR="00006174" w:rsidRPr="00B14023" w:rsidRDefault="00006174" w:rsidP="000573E3">
      <w:pPr>
        <w:pStyle w:val="Heading2"/>
        <w:keepNext w:val="0"/>
        <w:widowControl w:val="0"/>
      </w:pPr>
      <w:r w:rsidRPr="00B14023">
        <w:t>Prescriber Specialties</w:t>
      </w:r>
    </w:p>
    <w:p w14:paraId="7D0539ED" w14:textId="77777777" w:rsidR="00DE1D43" w:rsidRPr="00B14023" w:rsidRDefault="00B512D0" w:rsidP="000573E3">
      <w:pPr>
        <w:pStyle w:val="BodyText"/>
        <w:widowControl w:val="0"/>
      </w:pPr>
      <w:r w:rsidRPr="00B14023">
        <w:t>Must be prescribed by or in consultation with a hematologist.</w:t>
      </w:r>
    </w:p>
    <w:p w14:paraId="50A38FBA" w14:textId="170BF309" w:rsidR="00FE0C63" w:rsidRPr="00B14023" w:rsidRDefault="007818CF" w:rsidP="00E050E1">
      <w:pPr>
        <w:pStyle w:val="Heading2"/>
      </w:pPr>
      <w:r w:rsidRPr="00B14023">
        <w:lastRenderedPageBreak/>
        <w:t>Coverage Criteria</w:t>
      </w:r>
    </w:p>
    <w:p w14:paraId="4CBFE51B" w14:textId="77C4441E" w:rsidR="006051C1" w:rsidRPr="00B14023" w:rsidRDefault="006051C1" w:rsidP="00EC24EC">
      <w:pPr>
        <w:pStyle w:val="Heading3"/>
      </w:pPr>
      <w:r w:rsidRPr="00B14023">
        <w:t>Hemophilia A with Inhibitors</w:t>
      </w:r>
      <w:r w:rsidR="00064452" w:rsidRPr="00B0712B">
        <w:rPr>
          <w:vertAlign w:val="superscript"/>
        </w:rPr>
        <w:t>1,3,6-8</w:t>
      </w:r>
    </w:p>
    <w:p w14:paraId="78C52196" w14:textId="77777777" w:rsidR="006051C1" w:rsidRPr="008E1D44" w:rsidRDefault="006051C1" w:rsidP="00EC24EC">
      <w:pPr>
        <w:rPr>
          <w:rFonts w:cs="Arial"/>
          <w:szCs w:val="22"/>
        </w:rPr>
      </w:pPr>
      <w:r w:rsidRPr="008E1D44">
        <w:rPr>
          <w:rFonts w:cs="Arial"/>
          <w:szCs w:val="22"/>
        </w:rPr>
        <w:t xml:space="preserve">Authorization of 12 months may be granted for treatment of hemophilia A with inhibitors (see Appendix) when the inhibitor titer is </w:t>
      </w:r>
      <w:r w:rsidRPr="008E1D44">
        <w:rPr>
          <w:rFonts w:ascii="Arial" w:hAnsi="Arial" w:cs="Arial"/>
          <w:szCs w:val="22"/>
        </w:rPr>
        <w:t>≥</w:t>
      </w:r>
      <w:r w:rsidRPr="008E1D44">
        <w:rPr>
          <w:rFonts w:cs="Arial"/>
          <w:szCs w:val="22"/>
        </w:rPr>
        <w:t xml:space="preserve"> 5 Bethesda units per milliliter (BU/mL)</w:t>
      </w:r>
      <w:r w:rsidRPr="00AA5F27">
        <w:rPr>
          <w:szCs w:val="22"/>
        </w:rPr>
        <w:t xml:space="preserve"> </w:t>
      </w:r>
      <w:r w:rsidRPr="008E1D44">
        <w:rPr>
          <w:rFonts w:cs="Arial"/>
          <w:szCs w:val="22"/>
        </w:rPr>
        <w:t xml:space="preserve">or if the member has a history of an inhibitor titer </w:t>
      </w:r>
      <w:r w:rsidRPr="008E1D44">
        <w:rPr>
          <w:rFonts w:ascii="Arial" w:hAnsi="Arial" w:cs="Arial"/>
          <w:szCs w:val="22"/>
        </w:rPr>
        <w:t>≥</w:t>
      </w:r>
      <w:r w:rsidRPr="008E1D44">
        <w:rPr>
          <w:rFonts w:cs="Arial"/>
          <w:szCs w:val="22"/>
        </w:rPr>
        <w:t xml:space="preserve"> 5 BU.</w:t>
      </w:r>
    </w:p>
    <w:p w14:paraId="324E473F" w14:textId="7DDAE157" w:rsidR="006051C1" w:rsidRPr="00B14023" w:rsidRDefault="006051C1" w:rsidP="00EC24EC">
      <w:pPr>
        <w:pStyle w:val="Heading3"/>
      </w:pPr>
      <w:r w:rsidRPr="00B14023">
        <w:t>Hemophilia B with Inhibitors</w:t>
      </w:r>
      <w:r w:rsidR="00064452" w:rsidRPr="00B0712B">
        <w:rPr>
          <w:vertAlign w:val="superscript"/>
        </w:rPr>
        <w:t>1,3,6-8</w:t>
      </w:r>
    </w:p>
    <w:p w14:paraId="00101A73" w14:textId="77777777" w:rsidR="006051C1" w:rsidRPr="008E1D44" w:rsidRDefault="006051C1" w:rsidP="00EC24EC">
      <w:pPr>
        <w:rPr>
          <w:rFonts w:cs="Arial"/>
          <w:szCs w:val="22"/>
        </w:rPr>
      </w:pPr>
      <w:r w:rsidRPr="008E1D44">
        <w:rPr>
          <w:rFonts w:cs="Arial"/>
          <w:szCs w:val="22"/>
        </w:rPr>
        <w:t xml:space="preserve">Authorization of 12 months may be granted for treatment of hemophilia B with inhibitors (see Appendix) when the inhibitor titer is </w:t>
      </w:r>
      <w:r w:rsidRPr="008E1D44">
        <w:rPr>
          <w:rFonts w:ascii="Arial" w:hAnsi="Arial" w:cs="Arial"/>
          <w:szCs w:val="22"/>
        </w:rPr>
        <w:t>≥</w:t>
      </w:r>
      <w:r w:rsidRPr="008E1D44">
        <w:rPr>
          <w:rFonts w:cs="Arial"/>
          <w:szCs w:val="22"/>
        </w:rPr>
        <w:t xml:space="preserve"> 5 Bethesda units per milliliter (BU/mL)</w:t>
      </w:r>
      <w:r w:rsidRPr="00AA5F27">
        <w:rPr>
          <w:szCs w:val="22"/>
        </w:rPr>
        <w:t xml:space="preserve"> </w:t>
      </w:r>
      <w:r w:rsidRPr="008E1D44">
        <w:rPr>
          <w:rFonts w:cs="Arial"/>
          <w:szCs w:val="22"/>
        </w:rPr>
        <w:t xml:space="preserve">or if the member has a history of an inhibitor titer </w:t>
      </w:r>
      <w:r w:rsidRPr="008E1D44">
        <w:rPr>
          <w:rFonts w:ascii="Arial" w:hAnsi="Arial" w:cs="Arial"/>
          <w:szCs w:val="22"/>
        </w:rPr>
        <w:t>≥</w:t>
      </w:r>
      <w:r w:rsidRPr="008E1D44">
        <w:rPr>
          <w:rFonts w:cs="Arial"/>
          <w:szCs w:val="22"/>
        </w:rPr>
        <w:t xml:space="preserve"> 5 BU.</w:t>
      </w:r>
    </w:p>
    <w:p w14:paraId="3D99FD07" w14:textId="71E1AB70" w:rsidR="006051C1" w:rsidRPr="00B14023" w:rsidRDefault="006051C1" w:rsidP="00EC24EC">
      <w:pPr>
        <w:pStyle w:val="Heading3"/>
      </w:pPr>
      <w:r w:rsidRPr="00B14023">
        <w:t>Acquired Hemophilia A</w:t>
      </w:r>
      <w:r w:rsidR="00064452" w:rsidRPr="00B0712B">
        <w:rPr>
          <w:vertAlign w:val="superscript"/>
        </w:rPr>
        <w:t>2-5</w:t>
      </w:r>
    </w:p>
    <w:p w14:paraId="578CC2A9" w14:textId="06753EB1" w:rsidR="006051C1" w:rsidRPr="008E1D44" w:rsidRDefault="006051C1" w:rsidP="006F2C24">
      <w:pPr>
        <w:pStyle w:val="BodyText"/>
      </w:pPr>
      <w:r w:rsidRPr="008E1D44">
        <w:t>Authorization of 12 months may be granted for treatment of acquired hemophilia A.</w:t>
      </w:r>
    </w:p>
    <w:p w14:paraId="3A643EC3" w14:textId="0C60B8F9" w:rsidR="00A501AC" w:rsidRPr="00B14023" w:rsidRDefault="00A501AC" w:rsidP="00A501AC">
      <w:pPr>
        <w:pStyle w:val="Heading2"/>
      </w:pPr>
      <w:r w:rsidRPr="00B14023">
        <w:t>Continuation of Therapy</w:t>
      </w:r>
    </w:p>
    <w:p w14:paraId="1C67FA2B" w14:textId="4210E418" w:rsidR="00312E1C" w:rsidRPr="00B14023" w:rsidRDefault="007C6C0E" w:rsidP="00AA1E6A">
      <w:pPr>
        <w:pStyle w:val="BodyText"/>
      </w:pPr>
      <w:r w:rsidRPr="00B14023">
        <w:t xml:space="preserve">Authorization of 12 months may be granted for continued treatment in members requesting reauthorization for an indication listed in </w:t>
      </w:r>
      <w:r w:rsidR="00422046" w:rsidRPr="00422046">
        <w:t xml:space="preserve">the </w:t>
      </w:r>
      <w:r w:rsidR="00BC7253">
        <w:t>c</w:t>
      </w:r>
      <w:r w:rsidR="00422046" w:rsidRPr="00422046">
        <w:t xml:space="preserve">overage </w:t>
      </w:r>
      <w:r w:rsidR="00BC7253">
        <w:t>c</w:t>
      </w:r>
      <w:r w:rsidR="00422046" w:rsidRPr="00422046">
        <w:t xml:space="preserve">riteria </w:t>
      </w:r>
      <w:r w:rsidR="00422046">
        <w:t xml:space="preserve">section </w:t>
      </w:r>
      <w:r w:rsidRPr="00B14023">
        <w:t>when the member is experiencing benefit from therapy (e.g., reduced frequency or severity of bleeds)</w:t>
      </w:r>
      <w:r w:rsidR="00A501AC" w:rsidRPr="00B14023">
        <w:t>.</w:t>
      </w:r>
    </w:p>
    <w:p w14:paraId="784D6ED7" w14:textId="31B5F756" w:rsidR="008B1332" w:rsidRPr="00B14023" w:rsidRDefault="00B65538" w:rsidP="008B1332">
      <w:pPr>
        <w:pStyle w:val="Heading2"/>
      </w:pPr>
      <w:r w:rsidRPr="00B14023">
        <w:t>Appendix</w:t>
      </w:r>
    </w:p>
    <w:p w14:paraId="4DA22072" w14:textId="329EB49E" w:rsidR="008B1332" w:rsidRPr="00B14023" w:rsidRDefault="008D2C64" w:rsidP="008B1332">
      <w:pPr>
        <w:pStyle w:val="Heading3"/>
      </w:pPr>
      <w:r w:rsidRPr="00B14023">
        <w:t>Appendix: Inhibitors - Bethesda Units (BU)</w:t>
      </w:r>
      <w:r w:rsidR="00064452" w:rsidRPr="00B0712B">
        <w:rPr>
          <w:vertAlign w:val="superscript"/>
        </w:rPr>
        <w:t>7,9</w:t>
      </w:r>
    </w:p>
    <w:p w14:paraId="05361E3F" w14:textId="77777777" w:rsidR="008D2C64" w:rsidRPr="00B14023" w:rsidRDefault="008D2C64" w:rsidP="008D2C64">
      <w:r w:rsidRPr="00B14023">
        <w:t>The presence of inhibitors is confirmed by a specific blood test called the Bethesda inhibitor assay.</w:t>
      </w:r>
    </w:p>
    <w:p w14:paraId="29917E6A" w14:textId="41996FF8" w:rsidR="008D2C64" w:rsidRPr="00B14023" w:rsidRDefault="008D2C64" w:rsidP="00EC24EC">
      <w:pPr>
        <w:pStyle w:val="ListParagraph"/>
        <w:numPr>
          <w:ilvl w:val="0"/>
          <w:numId w:val="33"/>
        </w:numPr>
      </w:pPr>
      <w:r w:rsidRPr="00B14023">
        <w:t>High-titer inhibitors:</w:t>
      </w:r>
    </w:p>
    <w:p w14:paraId="69114495" w14:textId="03B72F4D" w:rsidR="00BA294A" w:rsidRPr="008E1D44" w:rsidRDefault="00BA294A" w:rsidP="00BA294A">
      <w:pPr>
        <w:pStyle w:val="ListParagraph"/>
        <w:numPr>
          <w:ilvl w:val="1"/>
          <w:numId w:val="34"/>
        </w:numPr>
        <w:ind w:left="1080"/>
      </w:pPr>
      <w:r w:rsidRPr="008E1D44">
        <w:rPr>
          <w:u w:val="single"/>
        </w:rPr>
        <w:t>&gt;</w:t>
      </w:r>
      <w:r w:rsidRPr="008E1D44">
        <w:t xml:space="preserve"> 5 BU/mL</w:t>
      </w:r>
    </w:p>
    <w:p w14:paraId="468C4F53" w14:textId="13449FB3" w:rsidR="008D2C64" w:rsidRPr="00B14023" w:rsidRDefault="008D2C64" w:rsidP="00EC24EC">
      <w:pPr>
        <w:pStyle w:val="ListParagraph"/>
        <w:numPr>
          <w:ilvl w:val="1"/>
          <w:numId w:val="34"/>
        </w:numPr>
        <w:ind w:left="1080"/>
      </w:pPr>
      <w:r w:rsidRPr="00B14023">
        <w:t>Inhibitors act strongly and quickly neutralize factor</w:t>
      </w:r>
    </w:p>
    <w:p w14:paraId="20030A75" w14:textId="259E44FC" w:rsidR="008D2C64" w:rsidRPr="00B14023" w:rsidRDefault="008D2C64" w:rsidP="00EC24EC">
      <w:pPr>
        <w:pStyle w:val="ListParagraph"/>
        <w:numPr>
          <w:ilvl w:val="0"/>
          <w:numId w:val="33"/>
        </w:numPr>
      </w:pPr>
      <w:r w:rsidRPr="00B14023">
        <w:t>Low-titer inhibitors:</w:t>
      </w:r>
    </w:p>
    <w:p w14:paraId="2FB4E15A" w14:textId="7DB1C661" w:rsidR="008D2C64" w:rsidRPr="00B14023" w:rsidRDefault="008D2C64" w:rsidP="00EC24EC">
      <w:pPr>
        <w:pStyle w:val="ListParagraph"/>
        <w:numPr>
          <w:ilvl w:val="1"/>
          <w:numId w:val="35"/>
        </w:numPr>
        <w:ind w:left="1080"/>
      </w:pPr>
      <w:r w:rsidRPr="00B14023">
        <w:t>&lt; 5 BU/mL</w:t>
      </w:r>
    </w:p>
    <w:p w14:paraId="5C11F12E" w14:textId="77777777" w:rsidR="00C2376B" w:rsidRPr="00B14023" w:rsidRDefault="008D2C64" w:rsidP="00EC24EC">
      <w:pPr>
        <w:pStyle w:val="ListParagraph"/>
        <w:numPr>
          <w:ilvl w:val="1"/>
          <w:numId w:val="35"/>
        </w:numPr>
        <w:ind w:left="1080"/>
      </w:pPr>
      <w:r w:rsidRPr="00B14023">
        <w:t>Inhibitors act weakly and slowly neutralize factor</w:t>
      </w:r>
    </w:p>
    <w:p w14:paraId="17409917" w14:textId="605B9866" w:rsidR="00C96B3F" w:rsidRPr="00B14023" w:rsidRDefault="00C96B3F" w:rsidP="00914B74">
      <w:pPr>
        <w:pStyle w:val="Heading2"/>
        <w:widowControl w:val="0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B14023">
        <w:t>References</w:t>
      </w:r>
    </w:p>
    <w:p w14:paraId="77B3FA64" w14:textId="1D0B3AA6" w:rsidR="00864F06" w:rsidRDefault="008D2C64" w:rsidP="00864F06">
      <w:pPr>
        <w:pStyle w:val="ReferenceOrdered"/>
        <w:keepNext w:val="0"/>
        <w:keepLines w:val="0"/>
        <w:widowControl w:val="0"/>
      </w:pPr>
      <w:r w:rsidRPr="00864F06">
        <w:t>FEIBA [package insert]. Lexington, MA: Takeda Pharmaceuticals U.S.A., Inc.; March 202</w:t>
      </w:r>
      <w:r w:rsidR="006F10D5">
        <w:t>4</w:t>
      </w:r>
      <w:r w:rsidRPr="00864F06">
        <w:t>.</w:t>
      </w:r>
    </w:p>
    <w:p w14:paraId="51C23EB9" w14:textId="68BBC189" w:rsidR="008D2C64" w:rsidRPr="00B14023" w:rsidRDefault="008D2C64" w:rsidP="000573E3">
      <w:pPr>
        <w:pStyle w:val="ReferenceOrdered"/>
        <w:keepNext w:val="0"/>
        <w:keepLines w:val="0"/>
        <w:widowControl w:val="0"/>
      </w:pPr>
      <w:r w:rsidRPr="00B14023">
        <w:t xml:space="preserve">AHFS DI (Adult and Pediatric) [database online]. Hudson, OH: Lexi-Comp, Inc.; https://online.lexi.com/lco/action/doc/retrieve/docid/essential_ashp/988283 [available with subscription]. Accessed December </w:t>
      </w:r>
      <w:r w:rsidR="003532C5">
        <w:t>2</w:t>
      </w:r>
      <w:r w:rsidRPr="00B14023">
        <w:t>, 202</w:t>
      </w:r>
      <w:r w:rsidR="003532C5">
        <w:t>4</w:t>
      </w:r>
      <w:r w:rsidRPr="00B14023">
        <w:t>.</w:t>
      </w:r>
    </w:p>
    <w:p w14:paraId="23ED32E6" w14:textId="495DCE79" w:rsidR="008D2C64" w:rsidRPr="00B14023" w:rsidRDefault="008D2C64" w:rsidP="000573E3">
      <w:pPr>
        <w:pStyle w:val="ReferenceOrdered"/>
        <w:keepNext w:val="0"/>
        <w:keepLines w:val="0"/>
        <w:widowControl w:val="0"/>
      </w:pPr>
      <w:r w:rsidRPr="00B14023">
        <w:t>Acquired hemophilia.</w:t>
      </w:r>
      <w:r w:rsidR="00EC24EC" w:rsidRPr="00B14023">
        <w:t xml:space="preserve"> </w:t>
      </w:r>
      <w:r w:rsidRPr="00B14023">
        <w:t>World Federation of Hemophilia. http://www1.wfh.org/publications/files/pdf-1186.pdf. Accessed December 5, 2023.</w:t>
      </w:r>
    </w:p>
    <w:p w14:paraId="5DC6666A" w14:textId="77777777" w:rsidR="008D2C64" w:rsidRPr="00B14023" w:rsidRDefault="008D2C64" w:rsidP="000573E3">
      <w:pPr>
        <w:pStyle w:val="ReferenceOrdered"/>
        <w:keepNext w:val="0"/>
        <w:keepLines w:val="0"/>
        <w:widowControl w:val="0"/>
      </w:pPr>
      <w:proofErr w:type="spellStart"/>
      <w:r w:rsidRPr="00B14023">
        <w:t>Tiede</w:t>
      </w:r>
      <w:proofErr w:type="spellEnd"/>
      <w:r w:rsidRPr="00B14023">
        <w:t xml:space="preserve"> A, Collins P, </w:t>
      </w:r>
      <w:proofErr w:type="spellStart"/>
      <w:r w:rsidRPr="00B14023">
        <w:t>Knoebl</w:t>
      </w:r>
      <w:proofErr w:type="spellEnd"/>
      <w:r w:rsidRPr="00B14023">
        <w:t xml:space="preserve"> P, et al. International recommendations on the diagnosis and treatment of acquired hemophilia A. </w:t>
      </w:r>
      <w:proofErr w:type="spellStart"/>
      <w:r w:rsidRPr="00B14023">
        <w:t>Haematologica</w:t>
      </w:r>
      <w:proofErr w:type="spellEnd"/>
      <w:r w:rsidRPr="00B14023">
        <w:t>. 2020;105(7):1791-1801. doi:10.3324/haematol.2019.230771.</w:t>
      </w:r>
    </w:p>
    <w:p w14:paraId="1F53C794" w14:textId="77777777" w:rsidR="008D2C64" w:rsidRPr="00B14023" w:rsidRDefault="008D2C64" w:rsidP="000573E3">
      <w:pPr>
        <w:pStyle w:val="ReferenceOrdered"/>
        <w:keepNext w:val="0"/>
        <w:keepLines w:val="0"/>
        <w:widowControl w:val="0"/>
      </w:pPr>
      <w:r w:rsidRPr="00B14023">
        <w:rPr>
          <w:lang w:val="it-IT"/>
        </w:rPr>
        <w:t xml:space="preserve">Franchini M, Mannucci PM. Acquired haemophilia A: a 2013 update. </w:t>
      </w:r>
      <w:proofErr w:type="spellStart"/>
      <w:r w:rsidRPr="00B14023">
        <w:t>Thromb</w:t>
      </w:r>
      <w:proofErr w:type="spellEnd"/>
      <w:r w:rsidRPr="00B14023">
        <w:t xml:space="preserve"> </w:t>
      </w:r>
      <w:proofErr w:type="spellStart"/>
      <w:r w:rsidRPr="00B14023">
        <w:t>Haemost</w:t>
      </w:r>
      <w:proofErr w:type="spellEnd"/>
      <w:r w:rsidRPr="00B14023">
        <w:t>. 2013;110(6):1114-20.</w:t>
      </w:r>
    </w:p>
    <w:p w14:paraId="6C1C2EC9" w14:textId="4666B15D" w:rsidR="008D2C64" w:rsidRPr="00B14023" w:rsidRDefault="008D2C64" w:rsidP="000573E3">
      <w:pPr>
        <w:pStyle w:val="ReferenceOrdered"/>
        <w:keepNext w:val="0"/>
        <w:keepLines w:val="0"/>
        <w:widowControl w:val="0"/>
      </w:pPr>
      <w:r w:rsidRPr="00B14023">
        <w:t xml:space="preserve">National Hemophilia Foundation. MASAC Recommendations Concerning Products Licensed for the Treatment of Hemophilia and Selected Disorders of the Coagulation System. Revised </w:t>
      </w:r>
      <w:r w:rsidR="009A0F39">
        <w:t>October</w:t>
      </w:r>
      <w:r w:rsidR="009A0F39" w:rsidRPr="00B14023">
        <w:t xml:space="preserve"> </w:t>
      </w:r>
      <w:r w:rsidRPr="00B14023">
        <w:t>202</w:t>
      </w:r>
      <w:r w:rsidR="009A0F39">
        <w:t>4</w:t>
      </w:r>
      <w:r w:rsidRPr="00B14023">
        <w:t>. MASAC Document #</w:t>
      </w:r>
      <w:r w:rsidR="00EF0D11">
        <w:t>29</w:t>
      </w:r>
      <w:r w:rsidR="009A0F39">
        <w:t>0</w:t>
      </w:r>
      <w:r w:rsidRPr="00B14023">
        <w:t xml:space="preserve">. https://www.hemophilia.org/sites/default/files/document/files/MASAC-Products-Licensed.pdf. Accessed December </w:t>
      </w:r>
      <w:r w:rsidR="009A0F39">
        <w:t>2</w:t>
      </w:r>
      <w:r w:rsidRPr="00B14023">
        <w:t>, 202</w:t>
      </w:r>
      <w:r w:rsidR="009A0F39">
        <w:t>4</w:t>
      </w:r>
      <w:r w:rsidRPr="00B14023">
        <w:t>.</w:t>
      </w:r>
    </w:p>
    <w:p w14:paraId="103BD3CD" w14:textId="77777777" w:rsidR="008D2C64" w:rsidRPr="00B14023" w:rsidRDefault="008D2C64" w:rsidP="000573E3">
      <w:pPr>
        <w:pStyle w:val="ReferenceOrdered"/>
        <w:keepNext w:val="0"/>
        <w:keepLines w:val="0"/>
        <w:widowControl w:val="0"/>
      </w:pPr>
      <w:r w:rsidRPr="00337C0B">
        <w:t xml:space="preserve">Srivastava A, </w:t>
      </w:r>
      <w:proofErr w:type="spellStart"/>
      <w:r w:rsidRPr="00337C0B">
        <w:t>Santagostino</w:t>
      </w:r>
      <w:proofErr w:type="spellEnd"/>
      <w:r w:rsidRPr="00337C0B">
        <w:t xml:space="preserve"> E, </w:t>
      </w:r>
      <w:proofErr w:type="spellStart"/>
      <w:r w:rsidRPr="00337C0B">
        <w:t>Dougall</w:t>
      </w:r>
      <w:proofErr w:type="spellEnd"/>
      <w:r w:rsidRPr="00337C0B">
        <w:t xml:space="preserve"> A, et al. </w:t>
      </w:r>
      <w:r w:rsidRPr="00B14023">
        <w:t xml:space="preserve">WFH Guidelines for the Management of Hemophilia, 3rd edition. </w:t>
      </w:r>
      <w:proofErr w:type="spellStart"/>
      <w:r w:rsidRPr="00B14023">
        <w:t>Haemophilia</w:t>
      </w:r>
      <w:proofErr w:type="spellEnd"/>
      <w:r w:rsidRPr="00B14023">
        <w:t>. 2020;26 Suppl 6:1-158. doi:10.1111/hae.14046.</w:t>
      </w:r>
    </w:p>
    <w:p w14:paraId="62391FD6" w14:textId="1365B0EA" w:rsidR="008D2C64" w:rsidRPr="00B14023" w:rsidRDefault="008D2C64" w:rsidP="000573E3">
      <w:pPr>
        <w:pStyle w:val="ReferenceOrdered"/>
        <w:keepNext w:val="0"/>
        <w:keepLines w:val="0"/>
        <w:widowControl w:val="0"/>
      </w:pPr>
      <w:r w:rsidRPr="00B14023">
        <w:t xml:space="preserve">National Hemophilia Foundation. MASAC Recommendations Regarding Prophylaxis with Bypassing Agents in Patients with Hemophilia and High Titer Inhibitors. MASAC Document #220. https://www.hemophilia.org/sites/default/files/document/files/masac220.pdf. Accessed December </w:t>
      </w:r>
      <w:r w:rsidR="00BF2D9C">
        <w:t>2</w:t>
      </w:r>
      <w:r w:rsidRPr="00B14023">
        <w:t>, 202</w:t>
      </w:r>
      <w:r w:rsidR="00BF2D9C">
        <w:t>4</w:t>
      </w:r>
      <w:r w:rsidRPr="00B14023">
        <w:t>.</w:t>
      </w:r>
    </w:p>
    <w:p w14:paraId="1720967A" w14:textId="379B3166" w:rsidR="00FF35C5" w:rsidRDefault="008D2C64" w:rsidP="000573E3">
      <w:pPr>
        <w:pStyle w:val="ReferenceOrdered"/>
        <w:keepNext w:val="0"/>
        <w:keepLines w:val="0"/>
        <w:widowControl w:val="0"/>
      </w:pPr>
      <w:proofErr w:type="spellStart"/>
      <w:r w:rsidRPr="00B14023">
        <w:rPr>
          <w:lang w:val="fr-FR"/>
        </w:rPr>
        <w:t>Kruse</w:t>
      </w:r>
      <w:proofErr w:type="spellEnd"/>
      <w:r w:rsidRPr="00B14023">
        <w:rPr>
          <w:lang w:val="fr-FR"/>
        </w:rPr>
        <w:t xml:space="preserve">-Jarres, R, </w:t>
      </w:r>
      <w:proofErr w:type="spellStart"/>
      <w:r w:rsidRPr="00B14023">
        <w:rPr>
          <w:lang w:val="fr-FR"/>
        </w:rPr>
        <w:t>Kempton</w:t>
      </w:r>
      <w:proofErr w:type="spellEnd"/>
      <w:r w:rsidRPr="00B14023">
        <w:rPr>
          <w:lang w:val="fr-FR"/>
        </w:rPr>
        <w:t xml:space="preserve"> CL, </w:t>
      </w:r>
      <w:proofErr w:type="spellStart"/>
      <w:r w:rsidRPr="00B14023">
        <w:rPr>
          <w:lang w:val="fr-FR"/>
        </w:rPr>
        <w:t>Baudo</w:t>
      </w:r>
      <w:proofErr w:type="spellEnd"/>
      <w:r w:rsidRPr="00B14023">
        <w:rPr>
          <w:lang w:val="fr-FR"/>
        </w:rPr>
        <w:t xml:space="preserve">, F, et al. </w:t>
      </w:r>
      <w:r w:rsidRPr="00B14023">
        <w:t xml:space="preserve">Acquired hemophilia A: Updated review of evidence and treatment guidance. Am J </w:t>
      </w:r>
      <w:proofErr w:type="spellStart"/>
      <w:r w:rsidRPr="00B14023">
        <w:t>Hematol</w:t>
      </w:r>
      <w:proofErr w:type="spellEnd"/>
      <w:r w:rsidRPr="00B14023">
        <w:t>. 2017;92:695-705.</w:t>
      </w:r>
    </w:p>
    <w:sectPr w:rsidR="00FF35C5" w:rsidSect="002B75A5">
      <w:headerReference w:type="defaul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CE105" w14:textId="77777777" w:rsidR="00304813" w:rsidRDefault="00304813">
      <w:r>
        <w:separator/>
      </w:r>
    </w:p>
  </w:endnote>
  <w:endnote w:type="continuationSeparator" w:id="0">
    <w:p w14:paraId="0225398C" w14:textId="77777777" w:rsidR="00304813" w:rsidRDefault="00304813">
      <w:r>
        <w:continuationSeparator/>
      </w:r>
    </w:p>
  </w:endnote>
  <w:endnote w:type="continuationNotice" w:id="1">
    <w:p w14:paraId="27254FAB" w14:textId="77777777" w:rsidR="00304813" w:rsidRDefault="003048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7246" w14:textId="13B12D0C" w:rsidR="002B75A5" w:rsidRPr="00EC47B6" w:rsidRDefault="002B75A5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14B74" w:rsidRPr="00914B74">
      <w:rPr>
        <w:rFonts w:cs="Arial"/>
        <w:noProof/>
        <w:sz w:val="16"/>
        <w:szCs w:val="16"/>
      </w:rPr>
      <w:t>FEIBA</w:t>
    </w:r>
    <w:r w:rsidR="00914B74">
      <w:rPr>
        <w:rFonts w:cs="Arial"/>
        <w:noProof/>
        <w:snapToGrid w:val="0"/>
        <w:color w:val="000000"/>
        <w:sz w:val="16"/>
        <w:szCs w:val="16"/>
      </w:rPr>
      <w:t xml:space="preserve"> SGM 1943-A</w:t>
    </w:r>
    <w:r w:rsidR="00914B74" w:rsidRPr="00914B74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612ED340" w14:textId="77777777" w:rsidR="002B75A5" w:rsidRPr="00EC47B6" w:rsidRDefault="002B75A5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5C6B26C6" w14:textId="77777777" w:rsidR="002B75A5" w:rsidRPr="00AA1E6A" w:rsidRDefault="002B75A5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8480" w14:textId="26E8239D" w:rsidR="002B75A5" w:rsidRPr="00EC47B6" w:rsidRDefault="002B75A5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14B74" w:rsidRPr="00914B74">
      <w:rPr>
        <w:rFonts w:cs="Arial"/>
        <w:noProof/>
        <w:sz w:val="16"/>
        <w:szCs w:val="16"/>
      </w:rPr>
      <w:t>FEIBA</w:t>
    </w:r>
    <w:r w:rsidR="00914B74">
      <w:rPr>
        <w:rFonts w:cs="Arial"/>
        <w:noProof/>
        <w:snapToGrid w:val="0"/>
        <w:color w:val="000000"/>
        <w:sz w:val="16"/>
        <w:szCs w:val="16"/>
      </w:rPr>
      <w:t xml:space="preserve"> SGM 1943-A</w:t>
    </w:r>
    <w:r w:rsidR="00914B74" w:rsidRPr="00914B74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447913CB" w14:textId="77777777" w:rsidR="002B75A5" w:rsidRPr="00EC47B6" w:rsidRDefault="002B75A5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3F91ECC" w14:textId="77777777" w:rsidR="002B75A5" w:rsidRPr="00F50D98" w:rsidRDefault="002B75A5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6261A" w14:textId="77777777" w:rsidR="00304813" w:rsidRDefault="00304813">
      <w:r>
        <w:separator/>
      </w:r>
    </w:p>
  </w:footnote>
  <w:footnote w:type="continuationSeparator" w:id="0">
    <w:p w14:paraId="2D22B4AC" w14:textId="77777777" w:rsidR="00304813" w:rsidRDefault="00304813">
      <w:r>
        <w:continuationSeparator/>
      </w:r>
    </w:p>
  </w:footnote>
  <w:footnote w:type="continuationNotice" w:id="1">
    <w:p w14:paraId="0A224E16" w14:textId="77777777" w:rsidR="00304813" w:rsidRDefault="003048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2B75A5" w:rsidRPr="006427E4" w14:paraId="603AB534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53C8FA64" w14:textId="77777777" w:rsidR="002B75A5" w:rsidRPr="006427E4" w:rsidRDefault="002B75A5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2B75A5" w:rsidRPr="006427E4" w14:paraId="74FB4E9C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474674CA" w14:textId="77777777" w:rsidR="002B75A5" w:rsidRPr="006427E4" w:rsidRDefault="002B75A5" w:rsidP="00ED04EC">
          <w:pPr>
            <w:pStyle w:val="Header"/>
            <w:rPr>
              <w:rFonts w:cs="Arial"/>
              <w:sz w:val="16"/>
              <w:szCs w:val="16"/>
            </w:rPr>
          </w:pPr>
          <w:proofErr w:type="spellStart"/>
          <w:r w:rsidRPr="006427E4">
            <w:rPr>
              <w:rFonts w:cs="Arial"/>
              <w:sz w:val="16"/>
              <w:szCs w:val="16"/>
            </w:rPr>
            <w:t>xxxx</w:t>
          </w:r>
          <w:proofErr w:type="spellEnd"/>
          <w:r w:rsidRPr="006427E4">
            <w:rPr>
              <w:rFonts w:cs="Arial"/>
              <w:sz w:val="16"/>
              <w:szCs w:val="16"/>
            </w:rPr>
            <w:t>-H</w:t>
          </w:r>
        </w:p>
      </w:tc>
    </w:tr>
  </w:tbl>
  <w:p w14:paraId="68039FB8" w14:textId="77777777" w:rsidR="002B75A5" w:rsidRPr="00AA1E6A" w:rsidRDefault="002B75A5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6F2C24" w:rsidRPr="00BD1CC1" w14:paraId="0CC1F6E0" w14:textId="77777777" w:rsidTr="00E903B4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020173BE" w14:textId="77777777" w:rsidR="006F2C24" w:rsidRPr="00EC47B6" w:rsidRDefault="006F2C24" w:rsidP="006F2C24">
          <w:pPr>
            <w:pStyle w:val="RefTableData"/>
          </w:pPr>
          <w:r w:rsidRPr="00F246C7">
            <w:t>Reference number(s</w:t>
          </w:r>
          <w:r w:rsidRPr="00EC47B6">
            <w:t>)</w:t>
          </w:r>
        </w:p>
      </w:tc>
    </w:tr>
    <w:tr w:rsidR="006F2C24" w:rsidRPr="002D723B" w14:paraId="19C2F073" w14:textId="77777777" w:rsidTr="00E903B4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828A15C" w14:textId="77777777" w:rsidR="006F2C24" w:rsidRPr="002D723B" w:rsidRDefault="006F2C24" w:rsidP="006F2C24">
          <w:pPr>
            <w:pStyle w:val="RefTableHeader"/>
          </w:pPr>
          <w:r>
            <w:t>1943-A</w:t>
          </w:r>
        </w:p>
      </w:tc>
    </w:tr>
  </w:tbl>
  <w:p w14:paraId="59B6D751" w14:textId="77777777" w:rsidR="00864F06" w:rsidRPr="006F2C24" w:rsidRDefault="00864F06" w:rsidP="006F2C24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63AB5"/>
    <w:multiLevelType w:val="hybridMultilevel"/>
    <w:tmpl w:val="BE7AC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C76852"/>
    <w:multiLevelType w:val="hybridMultilevel"/>
    <w:tmpl w:val="DCFADD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216726"/>
    <w:multiLevelType w:val="hybridMultilevel"/>
    <w:tmpl w:val="A186F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FA2130"/>
    <w:multiLevelType w:val="hybridMultilevel"/>
    <w:tmpl w:val="D32CB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257E53"/>
    <w:multiLevelType w:val="multilevel"/>
    <w:tmpl w:val="0C0ED176"/>
    <w:lvl w:ilvl="0">
      <w:start w:val="1"/>
      <w:numFmt w:val="upperLetter"/>
      <w:lvlText w:val="%1."/>
      <w:lvlJc w:val="left"/>
      <w:pPr>
        <w:ind w:left="900" w:hanging="360"/>
      </w:pPr>
    </w:lvl>
    <w:lvl w:ilvl="1">
      <w:start w:val="1"/>
      <w:numFmt w:val="decimal"/>
      <w:lvlText w:val="1.%2."/>
      <w:lvlJc w:val="right"/>
      <w:pPr>
        <w:ind w:left="5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2" w15:restartNumberingAfterBreak="0">
    <w:nsid w:val="4AFC796B"/>
    <w:multiLevelType w:val="hybridMultilevel"/>
    <w:tmpl w:val="4D925C1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93413"/>
    <w:multiLevelType w:val="hybridMultilevel"/>
    <w:tmpl w:val="84BA6C2A"/>
    <w:lvl w:ilvl="0" w:tplc="12B4C1DA">
      <w:numFmt w:val="bullet"/>
      <w:lvlText w:val="•"/>
      <w:lvlJc w:val="left"/>
      <w:pPr>
        <w:ind w:left="1080" w:hanging="720"/>
      </w:pPr>
      <w:rPr>
        <w:rFonts w:ascii="CVS Health Sans" w:eastAsia="Times New Roman" w:hAnsi="CVS Health Sans" w:cs="Times New Roman" w:hint="default"/>
      </w:rPr>
    </w:lvl>
    <w:lvl w:ilvl="1" w:tplc="FBC2E7AA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63677F"/>
    <w:multiLevelType w:val="hybridMultilevel"/>
    <w:tmpl w:val="E11473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57F76"/>
    <w:multiLevelType w:val="hybridMultilevel"/>
    <w:tmpl w:val="2A10FF56"/>
    <w:lvl w:ilvl="0" w:tplc="12B4C1DA">
      <w:numFmt w:val="bullet"/>
      <w:lvlText w:val="•"/>
      <w:lvlJc w:val="left"/>
      <w:pPr>
        <w:ind w:left="1080" w:hanging="720"/>
      </w:pPr>
      <w:rPr>
        <w:rFonts w:ascii="CVS Health Sans" w:eastAsia="Times New Roman" w:hAnsi="CVS Health Sans" w:cs="Times New Roman" w:hint="default"/>
      </w:rPr>
    </w:lvl>
    <w:lvl w:ilvl="1" w:tplc="3A94A324">
      <w:numFmt w:val="bullet"/>
      <w:lvlText w:val=""/>
      <w:lvlJc w:val="left"/>
      <w:pPr>
        <w:ind w:left="1800" w:hanging="720"/>
      </w:pPr>
      <w:rPr>
        <w:rFonts w:ascii="Symbol" w:eastAsia="Times New Roman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D1354"/>
    <w:multiLevelType w:val="hybridMultilevel"/>
    <w:tmpl w:val="221AA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82F24"/>
    <w:multiLevelType w:val="hybridMultilevel"/>
    <w:tmpl w:val="A5A2DDB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9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33"/>
  </w:num>
  <w:num w:numId="18" w16cid:durableId="299724409">
    <w:abstractNumId w:val="25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4"/>
  </w:num>
  <w:num w:numId="22" w16cid:durableId="1472481103">
    <w:abstractNumId w:val="27"/>
  </w:num>
  <w:num w:numId="23" w16cid:durableId="1997420403">
    <w:abstractNumId w:val="31"/>
  </w:num>
  <w:num w:numId="24" w16cid:durableId="33312838">
    <w:abstractNumId w:val="26"/>
  </w:num>
  <w:num w:numId="25" w16cid:durableId="507404939">
    <w:abstractNumId w:val="18"/>
  </w:num>
  <w:num w:numId="26" w16cid:durableId="226114698">
    <w:abstractNumId w:val="21"/>
  </w:num>
  <w:num w:numId="27" w16cid:durableId="677004965">
    <w:abstractNumId w:val="28"/>
  </w:num>
  <w:num w:numId="28" w16cid:durableId="1435321868">
    <w:abstractNumId w:val="12"/>
  </w:num>
  <w:num w:numId="29" w16cid:durableId="1047491207">
    <w:abstractNumId w:val="32"/>
  </w:num>
  <w:num w:numId="30" w16cid:durableId="437069475">
    <w:abstractNumId w:val="11"/>
  </w:num>
  <w:num w:numId="31" w16cid:durableId="382562488">
    <w:abstractNumId w:val="30"/>
  </w:num>
  <w:num w:numId="32" w16cid:durableId="676662597">
    <w:abstractNumId w:val="24"/>
  </w:num>
  <w:num w:numId="33" w16cid:durableId="274141355">
    <w:abstractNumId w:val="16"/>
  </w:num>
  <w:num w:numId="34" w16cid:durableId="1338533385">
    <w:abstractNumId w:val="22"/>
  </w:num>
  <w:num w:numId="35" w16cid:durableId="888103357">
    <w:abstractNumId w:val="35"/>
  </w:num>
  <w:num w:numId="36" w16cid:durableId="1358265545">
    <w:abstractNumId w:val="19"/>
  </w:num>
  <w:num w:numId="37" w16cid:durableId="2054189940">
    <w:abstractNumId w:val="3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3E3"/>
    <w:rsid w:val="00057C68"/>
    <w:rsid w:val="00057CD8"/>
    <w:rsid w:val="00060959"/>
    <w:rsid w:val="000609B8"/>
    <w:rsid w:val="00062816"/>
    <w:rsid w:val="00064347"/>
    <w:rsid w:val="00064396"/>
    <w:rsid w:val="00064452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4B68"/>
    <w:rsid w:val="000A5AE5"/>
    <w:rsid w:val="000A71EC"/>
    <w:rsid w:val="000A7D51"/>
    <w:rsid w:val="000B0F9D"/>
    <w:rsid w:val="000B104D"/>
    <w:rsid w:val="000B1961"/>
    <w:rsid w:val="000B20CD"/>
    <w:rsid w:val="000B40A1"/>
    <w:rsid w:val="000B551A"/>
    <w:rsid w:val="000B5714"/>
    <w:rsid w:val="000B57DC"/>
    <w:rsid w:val="000B5871"/>
    <w:rsid w:val="000B5E31"/>
    <w:rsid w:val="000B6086"/>
    <w:rsid w:val="000B61D7"/>
    <w:rsid w:val="000B7167"/>
    <w:rsid w:val="000B71C5"/>
    <w:rsid w:val="000B7827"/>
    <w:rsid w:val="000B7A41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898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6F51"/>
    <w:rsid w:val="000E7263"/>
    <w:rsid w:val="000E7948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2A9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1D4C"/>
    <w:rsid w:val="0029237C"/>
    <w:rsid w:val="002924BA"/>
    <w:rsid w:val="00292E08"/>
    <w:rsid w:val="00293574"/>
    <w:rsid w:val="00294324"/>
    <w:rsid w:val="002946D4"/>
    <w:rsid w:val="002947C0"/>
    <w:rsid w:val="002965CE"/>
    <w:rsid w:val="00296C7D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81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4E91"/>
    <w:rsid w:val="002B6A94"/>
    <w:rsid w:val="002B751E"/>
    <w:rsid w:val="002B75A5"/>
    <w:rsid w:val="002B7A9E"/>
    <w:rsid w:val="002B7F07"/>
    <w:rsid w:val="002B7FDB"/>
    <w:rsid w:val="002C0682"/>
    <w:rsid w:val="002C1498"/>
    <w:rsid w:val="002C1862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96B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813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37C0B"/>
    <w:rsid w:val="0034083D"/>
    <w:rsid w:val="003409BE"/>
    <w:rsid w:val="00340B83"/>
    <w:rsid w:val="00340E9D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32C5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46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37EE6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B94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99"/>
    <w:rsid w:val="004F5DCE"/>
    <w:rsid w:val="004F6DE0"/>
    <w:rsid w:val="004F71F1"/>
    <w:rsid w:val="004F7DE7"/>
    <w:rsid w:val="004F7DFB"/>
    <w:rsid w:val="004F7FA1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C2C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1020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36E8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5348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E7C0F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5F7A06"/>
    <w:rsid w:val="0060082A"/>
    <w:rsid w:val="006025DE"/>
    <w:rsid w:val="00602E3A"/>
    <w:rsid w:val="00604463"/>
    <w:rsid w:val="00604555"/>
    <w:rsid w:val="00604A0F"/>
    <w:rsid w:val="00604DB2"/>
    <w:rsid w:val="006051C1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38A2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08B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2A1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B7EBC"/>
    <w:rsid w:val="006C05C5"/>
    <w:rsid w:val="006C093D"/>
    <w:rsid w:val="006C0D5E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10D5"/>
    <w:rsid w:val="006F214B"/>
    <w:rsid w:val="006F2882"/>
    <w:rsid w:val="006F2C24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18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8CF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6C0E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A9F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1F5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4865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523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4F06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1F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2C64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1D44"/>
    <w:rsid w:val="008E24FB"/>
    <w:rsid w:val="008E3173"/>
    <w:rsid w:val="008E40F9"/>
    <w:rsid w:val="008E4479"/>
    <w:rsid w:val="008E4958"/>
    <w:rsid w:val="008E510A"/>
    <w:rsid w:val="008E52DC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4D63"/>
    <w:rsid w:val="008F53E8"/>
    <w:rsid w:val="008F58D0"/>
    <w:rsid w:val="008F5F59"/>
    <w:rsid w:val="008F640B"/>
    <w:rsid w:val="008F79F2"/>
    <w:rsid w:val="008F7B57"/>
    <w:rsid w:val="009017C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0DB9"/>
    <w:rsid w:val="00911462"/>
    <w:rsid w:val="0091183B"/>
    <w:rsid w:val="00911B53"/>
    <w:rsid w:val="00911B78"/>
    <w:rsid w:val="00912436"/>
    <w:rsid w:val="00914B74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65C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2D0"/>
    <w:rsid w:val="00995A6D"/>
    <w:rsid w:val="00995DAD"/>
    <w:rsid w:val="00995F4D"/>
    <w:rsid w:val="00996726"/>
    <w:rsid w:val="00996EF4"/>
    <w:rsid w:val="009973BE"/>
    <w:rsid w:val="00997849"/>
    <w:rsid w:val="009A0F3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2900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164A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5F20"/>
    <w:rsid w:val="00A278EB"/>
    <w:rsid w:val="00A320D9"/>
    <w:rsid w:val="00A326BC"/>
    <w:rsid w:val="00A32801"/>
    <w:rsid w:val="00A33A01"/>
    <w:rsid w:val="00A33BC1"/>
    <w:rsid w:val="00A33C4B"/>
    <w:rsid w:val="00A33E55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91A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624"/>
    <w:rsid w:val="00A76771"/>
    <w:rsid w:val="00A778F3"/>
    <w:rsid w:val="00A80C6E"/>
    <w:rsid w:val="00A80EB5"/>
    <w:rsid w:val="00A816EA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771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27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0B5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12B"/>
    <w:rsid w:val="00B07922"/>
    <w:rsid w:val="00B10E8F"/>
    <w:rsid w:val="00B1104E"/>
    <w:rsid w:val="00B113E6"/>
    <w:rsid w:val="00B12088"/>
    <w:rsid w:val="00B128A7"/>
    <w:rsid w:val="00B137E7"/>
    <w:rsid w:val="00B14023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2D0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94A"/>
    <w:rsid w:val="00BA2EEB"/>
    <w:rsid w:val="00BA2EFA"/>
    <w:rsid w:val="00BA2F74"/>
    <w:rsid w:val="00BA5E53"/>
    <w:rsid w:val="00BA61ED"/>
    <w:rsid w:val="00BA693F"/>
    <w:rsid w:val="00BA759D"/>
    <w:rsid w:val="00BA7968"/>
    <w:rsid w:val="00BA7999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5B1"/>
    <w:rsid w:val="00BC47DC"/>
    <w:rsid w:val="00BC51D6"/>
    <w:rsid w:val="00BC51E9"/>
    <w:rsid w:val="00BC62C0"/>
    <w:rsid w:val="00BC633A"/>
    <w:rsid w:val="00BC6777"/>
    <w:rsid w:val="00BC67F7"/>
    <w:rsid w:val="00BC6D95"/>
    <w:rsid w:val="00BC7253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2D9C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91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376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94E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0AE4"/>
    <w:rsid w:val="00CD3C27"/>
    <w:rsid w:val="00CD4084"/>
    <w:rsid w:val="00CD59BF"/>
    <w:rsid w:val="00CD6E3C"/>
    <w:rsid w:val="00CD74BA"/>
    <w:rsid w:val="00CD7B24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3577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4ECC"/>
    <w:rsid w:val="00DD5193"/>
    <w:rsid w:val="00DD5970"/>
    <w:rsid w:val="00DD70A3"/>
    <w:rsid w:val="00DE02C1"/>
    <w:rsid w:val="00DE1A6A"/>
    <w:rsid w:val="00DE1C7E"/>
    <w:rsid w:val="00DE1D43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492A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46A"/>
    <w:rsid w:val="00EC0CE4"/>
    <w:rsid w:val="00EC11FF"/>
    <w:rsid w:val="00EC24EC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0D11"/>
    <w:rsid w:val="00EF1588"/>
    <w:rsid w:val="00EF1D12"/>
    <w:rsid w:val="00EF208E"/>
    <w:rsid w:val="00EF2256"/>
    <w:rsid w:val="00EF2C03"/>
    <w:rsid w:val="00EF3A69"/>
    <w:rsid w:val="00EF3DD2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112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758"/>
    <w:rsid w:val="00F31BBD"/>
    <w:rsid w:val="00F31DFA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0C5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4708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0A1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00FF7B02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622801"/>
    <w:pPr>
      <w:outlineLvl w:val="3"/>
    </w:pPr>
    <w:rPr>
      <w:b w:val="0"/>
      <w:bCs w:val="0"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622801"/>
    <w:rPr>
      <w:rFonts w:ascii="CVS Health Sans" w:eastAsiaTheme="majorEastAsia" w:hAnsi="CVS Health Sans" w:cs="Arial"/>
      <w:sz w:val="24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RefTableHeader">
    <w:name w:val="Ref Table Header"/>
    <w:basedOn w:val="Header"/>
    <w:link w:val="RefTableHeaderChar"/>
    <w:qFormat/>
    <w:rsid w:val="002B75A5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2B75A5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2B75A5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2B75A5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2B75A5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2B75A5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F499C18F-2AA6-4F4D-8181-7BA08D1FC6BB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FEIBA 1943-A SGM P2024</vt:lpstr>
    </vt:vector>
  </TitlesOfParts>
  <Company>PCS Health Systems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FEIBA SGM 1943-A</dc:title>
  <dc:subject/>
  <dc:creator>CVS Caremark</dc:creator>
  <cp:keywords/>
  <cp:lastModifiedBy>Huerta, Linda M</cp:lastModifiedBy>
  <cp:revision>3</cp:revision>
  <cp:lastPrinted>2024-04-04T13:33:00Z</cp:lastPrinted>
  <dcterms:created xsi:type="dcterms:W3CDTF">2025-03-10T15:59:00Z</dcterms:created>
  <dcterms:modified xsi:type="dcterms:W3CDTF">2025-03-10T16:00:00Z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157600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